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75" w:rsidRPr="002A2475" w:rsidRDefault="002A2475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Додаток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до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ішення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Малинської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ради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від _________ 2023 р.№ _________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DE6962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ПОЛОЖЕННЯ</w:t>
      </w:r>
    </w:p>
    <w:p w:rsidR="002A2475" w:rsidRPr="002A2475" w:rsidRDefault="002A2475" w:rsidP="002A247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ілотування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«Системи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громадян»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в механізмі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громадського бюджету Малинської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міської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територіальної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громади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</w:p>
    <w:p w:rsidR="002A2475" w:rsidRPr="00EA541D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на 2024 </w:t>
      </w:r>
      <w:proofErr w:type="gramStart"/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</w:t>
      </w:r>
    </w:p>
    <w:p w:rsidR="002A2475" w:rsidRPr="00EA541D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A541D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EA541D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2A2475" w:rsidRPr="002A2475" w:rsidRDefault="002A2475" w:rsidP="002A2475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Визначення понять, які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використовуються у Положенні 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ілотування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механізмі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left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Малинської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міської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територіальної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громади</w:t>
      </w:r>
    </w:p>
    <w:p w:rsidR="002A2475" w:rsidRPr="002A2475" w:rsidRDefault="002A2475" w:rsidP="002A2475">
      <w:pPr>
        <w:numPr>
          <w:ilvl w:val="0"/>
          <w:numId w:val="2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Громадський бюджет (ГБ) – спосіб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визначення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видатків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частини бюджету громади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коштів з інших не заборонених законом джерел шляхом прямого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волевиявлення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громадян.</w:t>
      </w:r>
    </w:p>
    <w:p w:rsidR="002A2475" w:rsidRPr="002A2475" w:rsidRDefault="002A2475" w:rsidP="002A2475">
      <w:pPr>
        <w:numPr>
          <w:ilvl w:val="0"/>
          <w:numId w:val="2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механізмі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(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) – (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Citizen</w:t>
      </w:r>
      <w:r w:rsidR="00732C9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Token</w:t>
      </w:r>
      <w:r w:rsidR="00732C9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System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) -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Система 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Громадян 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–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механізм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перерозподілу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прийняття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рішень (ВПР) щодо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фінансування (наприклад: з місцевого бюджету) серед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в обмін на їх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внески (речі, послуги) до суспільних благ громади за смарт-контрактами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. За результатами тестування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CTS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допомагає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отримати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додаткову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користь до суспільних благ 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щонайменше в 3 рази більше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ніж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звичайні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методи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фінансування як то грантове, бюджетне і т.п.</w:t>
      </w:r>
    </w:p>
    <w:p w:rsidR="002A2475" w:rsidRPr="002A2475" w:rsidRDefault="002A2475" w:rsidP="002A2475">
      <w:pPr>
        <w:numPr>
          <w:ilvl w:val="0"/>
          <w:numId w:val="2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-токен управління (РВ-токен)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/>
        </w:rPr>
        <w:t>–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мінімальна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частка ВПР, яка встановлюється смарт-контрактом. До розробки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спеціалізованих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децентралізованих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інструменті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та крипто РВ-токенів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використовуються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їх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паперові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чи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цифрові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замінники, які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мають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унікальні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номери (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ID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);</w:t>
      </w:r>
    </w:p>
    <w:p w:rsidR="002A2475" w:rsidRPr="002A2475" w:rsidRDefault="002A2475" w:rsidP="002A2475">
      <w:pPr>
        <w:numPr>
          <w:ilvl w:val="0"/>
          <w:numId w:val="2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“Смарт-контракт” (СК) (додаток 1) – публічний документ (оферта), який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містить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виявлену потребу громади (наприклад: гуманітарна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допомога, безпека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тощо) та проблему, пояснення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чому авто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р(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и) СК не можуть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впоратись з цією проблемою власноруч і звертаються по допомогу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мешканців, перелік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внесків (речей/послуг) мешканців для вирішення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проблеми, розмір РВ-токену, порядок та умови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нарахування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РВ-токенів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обмін на їх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внески за СК, пояснення методики та розрахунок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доданої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вартості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суспільних благ за СК (додаткова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економічна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вигода), порядок і умови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використання РВ-токенів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 шляхом виваженого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за місцеві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 на вирішення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проблем, яким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визначаються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переможці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 конкурсу проєктів (проєктів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бюджету).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proofErr w:type="gramEnd"/>
    </w:p>
    <w:p w:rsidR="002A2475" w:rsidRPr="002A2475" w:rsidRDefault="002A2475" w:rsidP="002A2475">
      <w:pPr>
        <w:numPr>
          <w:ilvl w:val="0"/>
          <w:numId w:val="2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Прозорість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СК - СК завантажені на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GoogleDrive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знаходяться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вільному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доступі та опубліковані на посадковій веб-сторінці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проєкту, оприлюднюються на офіційному веб-сайті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hyperlink r:id="rId6" w:history="1"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malyn</w:t>
        </w:r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ru-RU"/>
          </w:rPr>
          <w:t>-</w:t>
        </w:r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rada</w:t>
        </w:r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ru-RU"/>
          </w:rPr>
          <w:t>.</w:t>
        </w:r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gov</w:t>
        </w:r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ru-RU"/>
          </w:rPr>
          <w:t>.</w:t>
        </w:r>
        <w:r w:rsidRPr="002A2475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ua</w:t>
        </w:r>
      </w:hyperlink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для загальної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координації та прозорості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всього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процесу, відображення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інформації;</w:t>
      </w:r>
    </w:p>
    <w:p w:rsidR="002A2475" w:rsidRPr="002A2475" w:rsidRDefault="002A2475" w:rsidP="002A2475">
      <w:pPr>
        <w:numPr>
          <w:ilvl w:val="0"/>
          <w:numId w:val="2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Запуск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проекту:</w:t>
      </w:r>
    </w:p>
    <w:p w:rsidR="002A2475" w:rsidRPr="002A2475" w:rsidRDefault="00732C98" w:rsidP="002A2475">
      <w:pPr>
        <w:numPr>
          <w:ilvl w:val="0"/>
          <w:numId w:val="3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изначені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проєктом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місяці в році для залучення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 за допомогою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створених СК з метою отримання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додаткової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вартості для вирішення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потреб;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3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та видача Р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 (паперових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цифрових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замінників РВ крипто-токенів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партисипаційного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бюджетування) залученим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громадянам за їх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продукти/послуги;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3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ініціатив/проєктів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місцевими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мешканцями;</w:t>
      </w:r>
    </w:p>
    <w:p w:rsidR="002A2475" w:rsidRPr="00EA541D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ініціативи/проєкти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надаються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місцевими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мешканцями за аплікаційною формою </w:t>
      </w:r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(додаток 2).</w:t>
      </w:r>
    </w:p>
    <w:p w:rsidR="002A2475" w:rsidRPr="002A2475" w:rsidRDefault="002A2475" w:rsidP="002A2475">
      <w:pPr>
        <w:numPr>
          <w:ilvl w:val="0"/>
          <w:numId w:val="4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–</w:t>
      </w:r>
      <w:r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постійно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діючий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час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реалізації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орган, члени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якого в межах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чинного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законодавства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України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організовують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координують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виконання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основних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заходів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щодо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впровадження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функціонування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використанням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механізму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 громаді, визначених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цим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Положенням.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Проєктна команда 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складатись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із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представників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ісцевого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самоврядування та громадськості (за бажанням) та затверджуватись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розпорядженням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голови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</w:p>
    <w:p w:rsidR="002A2475" w:rsidRPr="002A2475" w:rsidRDefault="002A2475" w:rsidP="002A2475">
      <w:pPr>
        <w:numPr>
          <w:ilvl w:val="0"/>
          <w:numId w:val="5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Р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команда 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фіксує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Р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 за їхні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продукти/послуги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 спеціальних онлайн-журналах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іку з обмеженим доступом;</w:t>
      </w:r>
    </w:p>
    <w:p w:rsidR="002A2475" w:rsidRPr="002A2475" w:rsidRDefault="002A2475" w:rsidP="002A2475">
      <w:pPr>
        <w:numPr>
          <w:ilvl w:val="0"/>
          <w:numId w:val="6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Власники РВ-токенів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мешканці,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завдяки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своїм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добрим справам у відповідності до СК отримали Р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–токени та право розпоряджатися ресурсами громадського бюджету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 використанням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механізму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;</w:t>
      </w:r>
    </w:p>
    <w:p w:rsidR="002A2475" w:rsidRPr="00732C98" w:rsidRDefault="002A2475" w:rsidP="002A2475">
      <w:pPr>
        <w:numPr>
          <w:ilvl w:val="0"/>
          <w:numId w:val="7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Тренінг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</w:t>
      </w:r>
      <w:r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навчання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для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метою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удосконалити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навички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проєктування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розвинути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дизайнерське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мислення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креативний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ідхід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вирішення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соціальних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;</w:t>
      </w:r>
    </w:p>
    <w:p w:rsidR="002A2475" w:rsidRPr="00732C98" w:rsidRDefault="002A2475" w:rsidP="002A2475">
      <w:pPr>
        <w:numPr>
          <w:ilvl w:val="0"/>
          <w:numId w:val="8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lastRenderedPageBreak/>
        <w:t> </w:t>
      </w:r>
      <w:proofErr w:type="gramStart"/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ітчинг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</w:t>
      </w:r>
      <w:r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-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 онлайн-форматі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платформі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Zoom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автори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презентують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свої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 з трансляцією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на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YouTube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для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зручності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перегляду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власниками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громадськості /або у форматі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відеопрезентації в соціальних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медіа. Пітчинг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запускає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процесс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голосування;</w:t>
      </w:r>
    </w:p>
    <w:p w:rsidR="002A2475" w:rsidRPr="002A2475" w:rsidRDefault="002A2475" w:rsidP="002A2475">
      <w:pPr>
        <w:numPr>
          <w:ilvl w:val="0"/>
          <w:numId w:val="9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–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власників РВ-токенів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отриманими РВ-токенами за місцеві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 для визначення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переможців конкурсу проєктів (безпосередня участь у прийнятті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ішень). Виважене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організується і проводиться за допомогою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наявних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інструментів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та визначає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попередні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голосування 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реальному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часі.</w:t>
      </w:r>
    </w:p>
    <w:p w:rsidR="002A2475" w:rsidRPr="002A2475" w:rsidRDefault="002A2475" w:rsidP="002A2475">
      <w:pPr>
        <w:numPr>
          <w:ilvl w:val="0"/>
          <w:numId w:val="10"/>
        </w:numPr>
        <w:spacing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Встановлення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gramStart"/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ідсумків</w:t>
      </w:r>
      <w:r w:rsidR="00732C98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Pr="00CC03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 xml:space="preserve"> –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встановлення</w:t>
      </w:r>
      <w:r w:rsidR="00732C98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остаточних</w:t>
      </w:r>
      <w:r w:rsidR="00732C98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шляхом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перевірки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виправлення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командою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онлайн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журналів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окремій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таблиці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предмет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помилок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при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заповненні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(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текстовий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набір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замість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цифр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,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зайві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коми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,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крапки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.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.,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які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рахуються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інструментами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результатах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</w:t>
      </w:r>
      <w:r w:rsidR="00CC03E4"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 </w:t>
      </w:r>
      <w:r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</w:t>
      </w:r>
      <w:r w:rsidRP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 xml:space="preserve">).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Остаточні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оприлюднюються на посадковій веб сторінці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ілотування, а також на офіційному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11"/>
        </w:numPr>
        <w:spacing w:after="24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Опис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процессу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механізмі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 Малинської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територіальна громада бере участь 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оновленої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концепції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системи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, яка передбачає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впровадження в рамках «4-місячного циклу», яка містила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наступні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етапи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заходів:</w:t>
      </w:r>
    </w:p>
    <w:p w:rsidR="002A2475" w:rsidRPr="002A2475" w:rsidRDefault="002A2475" w:rsidP="002A2475">
      <w:p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2.1. Підготовка (1 місяць)</w:t>
      </w:r>
      <w:r w:rsidR="00E912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: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CC03E4" w:rsidP="002A2475">
      <w:pPr>
        <w:numPr>
          <w:ilvl w:val="0"/>
          <w:numId w:val="12"/>
        </w:numPr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E912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новлення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потреб (опитування, онлайн-обговорення з місцевими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зацікавленими сторонами),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CC03E4" w:rsidP="002A2475">
      <w:pPr>
        <w:numPr>
          <w:ilvl w:val="0"/>
          <w:numId w:val="12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творення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проєктною командою громади смарт-контрактів, спрямованих на вирішення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виявлених проблем та викликів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ісцевої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</w:p>
    <w:p w:rsidR="002A2475" w:rsidRPr="002A2475" w:rsidRDefault="002A2475" w:rsidP="002A2475">
      <w:p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2.2. Запуск (2 місяці):</w:t>
      </w:r>
    </w:p>
    <w:p w:rsidR="002A2475" w:rsidRPr="002A2475" w:rsidRDefault="002A2475" w:rsidP="002A2475">
      <w:pPr>
        <w:numPr>
          <w:ilvl w:val="0"/>
          <w:numId w:val="13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інформування та залучення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 за допомогою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створених СК для отримання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додаткової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вартості для вирішення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потреб;</w:t>
      </w:r>
    </w:p>
    <w:p w:rsidR="002A2475" w:rsidRPr="002A2475" w:rsidRDefault="002A2475" w:rsidP="002A2475">
      <w:pPr>
        <w:numPr>
          <w:ilvl w:val="0"/>
          <w:numId w:val="13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та видача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 (паперових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замінників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партиципаторного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бюджетування) залученим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громадянам за їх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продукти/послуги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відповідальними членами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єктної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CC03E4" w:rsidP="002A2475">
      <w:pPr>
        <w:numPr>
          <w:ilvl w:val="0"/>
          <w:numId w:val="13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творення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ініціатив/проєктів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місцевими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мешканцями.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Проєктна команда громади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інформує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про нові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можливості шляхом публікацій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повідомлень у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соц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іальних мережах, на офіційному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громади, проводить консультації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 час особистих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зустрічей з мешканцями.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здійснюється в спеціальних онлайн-журналах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іку з обмеженим доступом (тільки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відповідальні члени проєктної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громади). В цих журналах має бути вказано: контактні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одержувача токену, 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наданих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кожному отримувачу та їх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ID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(унікальні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номери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ідентифікатори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токенів), за який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сааме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внесок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одержувач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отримав токен, а також економічний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ефект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внеску у відповідності до методики зазначеної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у смартконтракті. Журнал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іку є джерелом для наступної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публічної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інформації: загальна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емітованих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за кожним СК, загальна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за кожним СК, загальна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доступних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за кожним СК 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ізниця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між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емітованих та виданих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токенів), загальна сума коштів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 в грн за кожним СК, яка перейшла в управління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за механізмом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перерозподілу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прийняття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ішень. Для забезпечення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прозорості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публічна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відображається в реальному* часі на веб-сторінці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,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яка є джерелом для поширення на інших сайтах, соціальних та інших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медіа.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* термін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внесення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запису про нарахування токену в журналі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іку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відповідальною особою проєктної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команди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громади не має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перевищувати 24 години з моменту надання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мешканцем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свого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внеску за СК.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2.3. Виважене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голосування, фінансування та реалізація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у(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ів)- переможця (1 місяць).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Цей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етап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починається з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ітчингу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проєктів, які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претендують на фінансування за кошти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громадського бюджету.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ітчинг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запускає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процесс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гоголосування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за проєкти.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Виважене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організовано і проводиться за допомогою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наявних та безкоштовних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інструментів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. Власники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заповнюють онлайн-форму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, де вказують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ID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проєкту, який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хочуть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ідтримати, суму підтримки в гривнях (як 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зароблених ними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-токенів, помножену на вартість 1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-токена) та всі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ID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кожного заробленого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-токена. Дані онлайн форми автоматично потрапляють у повʼязану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таблицю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Sheet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, а зведені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за проєкти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потр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апляють в </w:t>
      </w:r>
      <w:proofErr w:type="gramStart"/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реальному</w:t>
      </w:r>
      <w:proofErr w:type="gramEnd"/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часі на пов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ʼязану веб-сторінку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Site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для відображення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попередніх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за кожним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проєктом. 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є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попередніми а не остаточними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внаслідок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значного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ризику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помилок на кроці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заповнення онлайн форми («людський фактор») при використанні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 методу 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голосування (як випадкові так і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ідомі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недостовірні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дані). Проєктна команда громада має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забезпечити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моніторинг (відповідність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журналів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та 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голосування), виявлення та виправлення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помилок.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ісля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завершення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моніторингу та виправлення, проєктна команда громади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публічно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оголошує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остаточні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на офіційному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left="567" w:hanging="567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2.4. Поширення та обговорення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 (4 тиждень 4-го місяця).</w:t>
      </w:r>
    </w:p>
    <w:p w:rsidR="002A2475" w:rsidRPr="002A2475" w:rsidRDefault="002A2475" w:rsidP="00E91299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Презентація та обговорення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 на веб-конференції. Веб-конференція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організується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проєктною командою громади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із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запрошенням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авторів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проєктів, залучених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мешканців, представників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влади (місцевої, районної, обласної) та громадянського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суспільства, незалежних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експертів, а також представників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розробників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та проєктного партнера, фонду “Молода громада”.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Протягом веб-конференції також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очіку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ється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аналіз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уроків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насамперед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безпосередніми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виконавцями і створення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рекомендацій для подальшої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діяльності на користь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14"/>
        </w:numPr>
        <w:spacing w:after="24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Фінансування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br/>
        <w:t>з використанням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механізму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</w:p>
    <w:p w:rsidR="002A2475" w:rsidRPr="002A2475" w:rsidRDefault="002A2475" w:rsidP="00E91299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Фінансування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 з використанням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механізму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здійснюється за рахунок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коштів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бюджету Малинської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громади, передбачених для громадського бюджету, а також співфінансування коштами БФ «Молода громада» в межах меморандуму співпраці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між Малин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ькою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міською радою та БФ «Молода громада» у впровадженні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 «Масштабування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Системи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Громадян, посилення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національних та регіональних мереж партнерів і розвиток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філантропії в громадах в часи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кризи» за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ідтримки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Global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Fundfor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Community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Foundations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.</w:t>
      </w:r>
    </w:p>
    <w:p w:rsidR="002A2475" w:rsidRPr="002A2475" w:rsidRDefault="002A2475" w:rsidP="002A2475">
      <w:pPr>
        <w:spacing w:after="240" w:line="240" w:lineRule="auto"/>
        <w:ind w:left="567" w:hanging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lastRenderedPageBreak/>
        <w:t>Додаток 1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 Положення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ілотування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в механізмі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громадського бюджету Малинської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територіальної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громади на 2024 рік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Смарт-контракт №__</w:t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(назва)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Назва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громади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Кількість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токенів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Яка проблема буде вирішена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завдякицьому СК (“точка виходу” СК)?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Проблема -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</w:p>
          <w:p w:rsidR="002A2475" w:rsidRPr="002A2475" w:rsidRDefault="002A2475" w:rsidP="002A2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Очікуваний продукт (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output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) за СК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:.</w:t>
            </w:r>
            <w:proofErr w:type="gramEnd"/>
          </w:p>
          <w:p w:rsidR="002A2475" w:rsidRPr="002A2475" w:rsidRDefault="002A2475" w:rsidP="002A2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Очікувані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зміни (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outcomes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) за СК:</w:t>
            </w:r>
          </w:p>
          <w:p w:rsidR="002A2475" w:rsidRPr="00EA541D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EA54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Вимі</w:t>
            </w:r>
            <w:proofErr w:type="gramStart"/>
            <w:r w:rsidRPr="00EA54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р</w:t>
            </w:r>
            <w:proofErr w:type="gramEnd"/>
            <w:r w:rsidRPr="00EA54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-.</w:t>
            </w:r>
          </w:p>
          <w:p w:rsidR="002A2475" w:rsidRPr="00EA541D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EA541D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Проблема емітенту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цього СК, яка заважає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вирішити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цю проблему самотужки.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Чому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емітент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звертається по допомогу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мешканців і готовий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надати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їм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частки у прийнятті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рішень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щодо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власних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фінансів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(чи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фінансів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управлінні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емітента)?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 ОТРИМАННЯ РВ-ТОКЕНУ (як мешканцю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заробити РВ-токен?)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1.1. Що і яким чином людина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має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зробити для отримання 1 РВ-токену?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4"/>
      </w:tblGrid>
      <w:tr w:rsidR="002A2475" w:rsidRPr="002A2475" w:rsidTr="002A2475">
        <w:trPr>
          <w:trHeight w:val="4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УВАГА! За умовами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даного смарт-контракту 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максимальна</w:t>
            </w:r>
            <w:proofErr w:type="gramEnd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кількість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токенів, яку може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отримати 1 людина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дорівнює 3</w:t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1.2. Яка вартість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однієї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дії в грн (яку вартість 1 РВ-токену випропонуєте за успішне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виконання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людиною п.1.1?). Будь ласка, врахуйте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наступне: 1) вартість не може бути нижчою, ніж людям буде цікаво, 2) вартість не може бути вищою, ніж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місцева рада буде готова затвердити в механізмі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громадського бюджету 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ісля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проєкту).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1.3. Яким чином буде забезпечена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достовірність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виконання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дії 1.1?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1.4. Чи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передбачається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забезпечення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достовірності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людини (її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верифікація)? Якщо так, яким чином? Якщо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ні, поясніть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чому в цьому не має потреби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1.5. Як буде організовано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ік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нарахування та видачі людям РВ-токенів?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1.6 Яким чином буде забезпечена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прозорість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достовірності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дії,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іку, (та достовірності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людини, якщо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це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було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обрано в п1.4)?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1.7. Яким чином людина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отримає (паперовий) РВ-токен (окремо 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–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якщо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мешкає поза адмінцентру)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AB4898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1.8. Яким чином буде забезпечено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інформування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мешканців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щодо смарт-контракту?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Окремим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абзацом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опишіть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тут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ваш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механізм “залучення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залученими”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3"/>
      </w:tblGrid>
      <w:tr w:rsidR="002A2475" w:rsidRPr="002A2475" w:rsidTr="00E91299">
        <w:trPr>
          <w:trHeight w:val="495"/>
        </w:trPr>
        <w:tc>
          <w:tcPr>
            <w:tcW w:w="9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AB4898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AB4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AB4898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2. ВИКОРИСТАННЯ РВ-ТОКЕНУ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2.1. Опишіть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алгоритм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використання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отриманих РВ-токенів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підтримку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місцевих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ініціатив з дотриманням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прозорості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та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достовірності.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2.2. Як мешканці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дізнаються про можливість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створити проект?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3"/>
      </w:tblGrid>
      <w:tr w:rsidR="002A2475" w:rsidRPr="002A2475" w:rsidTr="00E91299">
        <w:trPr>
          <w:trHeight w:val="495"/>
        </w:trPr>
        <w:tc>
          <w:tcPr>
            <w:tcW w:w="9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lastRenderedPageBreak/>
        <w:t>2.3. Опишіть структуру форми проекту, яку ви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запропонуєте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бажаючим (перелі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к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полей)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4"/>
      </w:tblGrid>
      <w:tr w:rsidR="002A2475" w:rsidRPr="002A2475" w:rsidTr="002A2475">
        <w:trPr>
          <w:trHeight w:val="4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Приклад: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Назва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проєкту;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Автор проекту;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Локація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проєкту (населений пункт);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Адреса, назва установи/ закладу, будинку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Мета (що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зробити? яким чином?);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Проблема (для чого? чому?):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Основні заходи (як діяти?);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Для кого цей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проєкт (основні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групи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мешканці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в</w:t>
            </w:r>
            <w:proofErr w:type="gramEnd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як</w:t>
            </w:r>
            <w:proofErr w:type="gramEnd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і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зможуть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користуватися результатами реалізації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завдання)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Результат (що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отримаємо?)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Вартість (бюджет проєкту);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Власний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внесок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….</w:t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2.4. Де будуть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розміщуватись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проекти для публічного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ознайомлення?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96"/>
      </w:tblGrid>
      <w:tr w:rsidR="002A2475" w:rsidRPr="002A2475" w:rsidTr="00E91299">
        <w:trPr>
          <w:trHeight w:val="495"/>
        </w:trPr>
        <w:tc>
          <w:tcPr>
            <w:tcW w:w="10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2.5. Які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додаткові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механізми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інформування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власників РВ-токенів 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наявн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проєкти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передбачаються?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96"/>
      </w:tblGrid>
      <w:tr w:rsidR="002A2475" w:rsidRPr="002A2475" w:rsidTr="00E91299">
        <w:trPr>
          <w:trHeight w:val="495"/>
        </w:trPr>
        <w:tc>
          <w:tcPr>
            <w:tcW w:w="10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3. Ваші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очікування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від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користі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впровадження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вашого смарт-контракту для громади (дохід/додана цінність, та/або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скорочення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наявних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витрат, та/або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економії часу працівників*) із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зазначенням як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це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будете вимірювати. Методика оцінювання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економічного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ефекту.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"скорочення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наявних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витрат" також потребує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розрахунку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очікуваного результату. Наприклад, зараз витрачається ХХ (із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розрахунку за одиницю), а </w:t>
      </w:r>
      <w:proofErr w:type="gramStart"/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очіку</w:t>
      </w:r>
      <w:proofErr w:type="gramEnd"/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ється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зменшення до УУ, загальна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очікувана сума економії - АА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96"/>
      </w:tblGrid>
      <w:tr w:rsidR="002A2475" w:rsidRPr="002A2475" w:rsidTr="00E91299">
        <w:trPr>
          <w:trHeight w:val="495"/>
        </w:trPr>
        <w:tc>
          <w:tcPr>
            <w:tcW w:w="10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lastRenderedPageBreak/>
        <w:t>Додаток 2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 Положення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ілотування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в механізмі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громадського бюджету </w:t>
      </w:r>
      <w:r w:rsidR="00E9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Малинс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територіальної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громади на 2024 рік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n-US"/>
        </w:rPr>
        <w:t>Аплікаційна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n-US"/>
        </w:rPr>
        <w:t>форма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n-US"/>
        </w:rPr>
        <w:t>проєкту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7"/>
        <w:gridCol w:w="3659"/>
        <w:gridCol w:w="1353"/>
      </w:tblGrid>
      <w:tr w:rsidR="002A2475" w:rsidRPr="002A2475" w:rsidTr="00E9129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ind w:left="-115" w:right="-129" w:hanging="1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Заповнюється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особою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проєктної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команди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Дата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надходження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E9129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Номер у реєстрі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проєктів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E9129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ПІБ та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підпи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сособи, що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реєструє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15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>Вс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>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>пункти є обов’язковими для заповнення!</w:t>
      </w:r>
    </w:p>
    <w:p w:rsidR="002A2475" w:rsidRPr="002A2475" w:rsidRDefault="002A2475" w:rsidP="002A2475">
      <w:pPr>
        <w:numPr>
          <w:ilvl w:val="0"/>
          <w:numId w:val="1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Назва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у(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 більше 10 слів):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Категорія (тема) проєкту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Локація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 (населений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пункт)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9758EB" w:rsidRDefault="002A2475" w:rsidP="002A2475">
      <w:pPr>
        <w:numPr>
          <w:ilvl w:val="0"/>
          <w:numId w:val="19"/>
        </w:numPr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Адреса, назва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установи/ закладу, будинку</w:t>
      </w:r>
    </w:p>
    <w:p w:rsidR="002A2475" w:rsidRPr="002A2475" w:rsidRDefault="002A2475" w:rsidP="002A2475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Короткий опис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 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 б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ільше 50 слів):</w:t>
      </w:r>
    </w:p>
    <w:p w:rsidR="002A2475" w:rsidRPr="009758EB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Проблема (передумови, обґрунтування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необхідності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проєкту):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Мета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: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3"/>
        </w:numPr>
        <w:spacing w:after="12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Пропоноване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ішення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розв’язання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проблеми і 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обґрунтування: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numPr>
          <w:ilvl w:val="0"/>
          <w:numId w:val="24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Для кого цей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 (основні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групи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зможуть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користуватися результатами 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завдання):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5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Орієнтовна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загальна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вартість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lastRenderedPageBreak/>
        <w:br/>
      </w:r>
    </w:p>
    <w:p w:rsidR="002A2475" w:rsidRPr="002A2475" w:rsidRDefault="002A2475" w:rsidP="002A2475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Очікуваний термін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проєкту:</w:t>
      </w:r>
    </w:p>
    <w:p w:rsidR="002A2475" w:rsidRPr="002A2475" w:rsidRDefault="002A2475" w:rsidP="002A247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7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Ваш особистий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внесок, співучасть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БЮДЖЕТ ПРОЄКТУ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"/>
        <w:gridCol w:w="2537"/>
        <w:gridCol w:w="1613"/>
        <w:gridCol w:w="2489"/>
        <w:gridCol w:w="1170"/>
      </w:tblGrid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Найменування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товарів</w:t>
            </w:r>
          </w:p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(робіт, послуг)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Кількість, од.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Ціна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за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одиницю, грн.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Вартість,</w:t>
            </w:r>
          </w:p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грн.</w:t>
            </w:r>
          </w:p>
        </w:tc>
      </w:tr>
      <w:tr w:rsidR="00B74740" w:rsidRPr="002A2475" w:rsidTr="00B74740">
        <w:trPr>
          <w:trHeight w:val="193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rPr>
          <w:trHeight w:val="325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rPr>
          <w:trHeight w:val="40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rPr>
          <w:trHeight w:val="58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/>
              </w:rPr>
              <w:t>ВСЬОГО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9"/>
        </w:numPr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Очікувані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результати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3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Інформація про автора проєкту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: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(</w:t>
      </w:r>
      <w:proofErr w:type="gramEnd"/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всі</w:t>
      </w:r>
      <w:r w:rsidR="009758E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пункти є обов’язковими для заповнення)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Прізвище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Ім’я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По-батькові_________________________________________________________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Дата народження (ДД/ММ/РРРР) 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Серія і номер паспорту_______________________________________________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Телефон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+380 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Адреса реєстрації 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Адреса проживання 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Електронна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пошта (якщо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бажаєте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електронні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повідомлення)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Вік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ідкреслити)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16-18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19-30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31-40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41-50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51- 60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60+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Рід занять (підкреслити)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Школяр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Студент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Працюю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Безробітний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Пенсіонер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Підприємець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Інше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 видізналися про Бюджет участі (громадський бюджет)?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Друковані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засоби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масової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інформації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Сайт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ради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Соціальні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мережі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Друзі, знайомі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Депутати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ради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Навчальні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заклади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3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Додатки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заявки:</w:t>
      </w:r>
    </w:p>
    <w:p w:rsidR="002A2475" w:rsidRPr="009758EB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бланк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ідтримки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підписами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людей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підтримали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;</w:t>
      </w:r>
    </w:p>
    <w:p w:rsidR="002A2475" w:rsidRPr="002A2475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бюджет</w:t>
      </w:r>
      <w:proofErr w:type="gramEnd"/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проекту (...);</w:t>
      </w:r>
    </w:p>
    <w:p w:rsidR="002A2475" w:rsidRPr="002A2475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фото, схеми, креслення, малюнки, 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демонструють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очікуваний результат (за бажанням);</w:t>
      </w:r>
    </w:p>
    <w:p w:rsidR="002A2475" w:rsidRPr="002A2475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згода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даних.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Згода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даних: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Я,_______________________________________________________народився (лася) «___»________________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року, паспорт _______________, виданий _________________________________________________________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зареєстрований за адресою: ____________________________________________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відповідно до Закону України «Про захист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даних» від 1 червня 2010 року № 2297-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V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І, шляхом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ідписання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 тексту, даю згоду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моїх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виключно для реалізації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Програми «Бюджет участі (громадський бюджет)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громади».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дані,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яких я даю цю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згоду, можуть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бути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передані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третім особам тільки у випадках, передбачених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законодавством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України.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«_____» _____________ року.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                                             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ідпис)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(прізвище та ініціали)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 погоджуюся з тим, що:</w:t>
      </w:r>
    </w:p>
    <w:p w:rsidR="002A2475" w:rsidRPr="002A2475" w:rsidRDefault="002A2475" w:rsidP="002A2475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заповнений бланк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( 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виключенням п.14* та додатку) буде опубліковано на офіційному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ради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рубриці «Громадський бюджет»;</w:t>
      </w:r>
    </w:p>
    <w:p w:rsidR="002A2475" w:rsidRPr="002A2475" w:rsidRDefault="002A2475" w:rsidP="002A2475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 можливість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модифікації, об’єднання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 з іншими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завданнями, а також 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реалізації 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поточному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режимі;</w:t>
      </w:r>
    </w:p>
    <w:p w:rsidR="002A2475" w:rsidRPr="002A2475" w:rsidRDefault="002A2475" w:rsidP="002A2475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можливе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уточнення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проєкту, якщо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суперечитиме Законам України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чи сума в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році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перевищить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максимальний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обсяг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коштів, визначених на 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реалізацію.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Положенням про громадський бюджет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 ради ознайомлений і приймаю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умови.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«_____» ____________ року.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                                            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ідпис)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(прізвище та ініціали)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E47024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Зауваження автора (примітки)</w:t>
      </w:r>
      <w:proofErr w:type="gramStart"/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:</w:t>
      </w:r>
      <w:proofErr w:type="gramEnd"/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____________________________________________________________________</w:t>
      </w:r>
    </w:p>
    <w:p w:rsidR="002A2475" w:rsidRPr="00E47024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____________________________________________________________________</w:t>
      </w:r>
    </w:p>
    <w:p w:rsidR="00FA722C" w:rsidRDefault="00FA722C"/>
    <w:sectPr w:rsidR="00FA722C" w:rsidSect="00B74740">
      <w:pgSz w:w="12240" w:h="15840"/>
      <w:pgMar w:top="1440" w:right="616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5C8"/>
    <w:multiLevelType w:val="multilevel"/>
    <w:tmpl w:val="F230B5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E55E5"/>
    <w:multiLevelType w:val="multilevel"/>
    <w:tmpl w:val="010CAC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D0EBC"/>
    <w:multiLevelType w:val="multilevel"/>
    <w:tmpl w:val="E33CF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F6E45"/>
    <w:multiLevelType w:val="multilevel"/>
    <w:tmpl w:val="19AA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7596D"/>
    <w:multiLevelType w:val="multilevel"/>
    <w:tmpl w:val="E8780B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6C6D73"/>
    <w:multiLevelType w:val="multilevel"/>
    <w:tmpl w:val="3C4A4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427A6"/>
    <w:multiLevelType w:val="multilevel"/>
    <w:tmpl w:val="927AC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054E1F"/>
    <w:multiLevelType w:val="multilevel"/>
    <w:tmpl w:val="82BE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332D0"/>
    <w:multiLevelType w:val="multilevel"/>
    <w:tmpl w:val="1786F6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D75C52"/>
    <w:multiLevelType w:val="multilevel"/>
    <w:tmpl w:val="EA8C9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DC6F64"/>
    <w:multiLevelType w:val="multilevel"/>
    <w:tmpl w:val="4AFC10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465F26"/>
    <w:multiLevelType w:val="multilevel"/>
    <w:tmpl w:val="24926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096EF0"/>
    <w:multiLevelType w:val="multilevel"/>
    <w:tmpl w:val="61FEC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8352F6"/>
    <w:multiLevelType w:val="multilevel"/>
    <w:tmpl w:val="DF101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BA0CC8"/>
    <w:multiLevelType w:val="multilevel"/>
    <w:tmpl w:val="1302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382778"/>
    <w:multiLevelType w:val="multilevel"/>
    <w:tmpl w:val="A1ACCAA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235C6D"/>
    <w:multiLevelType w:val="multilevel"/>
    <w:tmpl w:val="26C001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367117"/>
    <w:multiLevelType w:val="multilevel"/>
    <w:tmpl w:val="DF94AE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761E20"/>
    <w:multiLevelType w:val="multilevel"/>
    <w:tmpl w:val="B9B8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EC2C7B"/>
    <w:multiLevelType w:val="multilevel"/>
    <w:tmpl w:val="6F6C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FD78FA"/>
    <w:multiLevelType w:val="multilevel"/>
    <w:tmpl w:val="6E2622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55871"/>
    <w:multiLevelType w:val="multilevel"/>
    <w:tmpl w:val="78EED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2C5D4D"/>
    <w:multiLevelType w:val="multilevel"/>
    <w:tmpl w:val="1CCAF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C3111A"/>
    <w:multiLevelType w:val="multilevel"/>
    <w:tmpl w:val="9384CD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230B81"/>
    <w:multiLevelType w:val="multilevel"/>
    <w:tmpl w:val="1BECB79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84672C"/>
    <w:multiLevelType w:val="multilevel"/>
    <w:tmpl w:val="C45E01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053DBC"/>
    <w:multiLevelType w:val="multilevel"/>
    <w:tmpl w:val="1C4E53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03522D"/>
    <w:multiLevelType w:val="multilevel"/>
    <w:tmpl w:val="81C2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7"/>
  </w:num>
  <w:num w:numId="4">
    <w:abstractNumId w:val="16"/>
    <w:lvlOverride w:ilvl="0">
      <w:lvl w:ilvl="0">
        <w:numFmt w:val="decimal"/>
        <w:lvlText w:val="%1."/>
        <w:lvlJc w:val="left"/>
      </w:lvl>
    </w:lvlOverride>
  </w:num>
  <w:num w:numId="5">
    <w:abstractNumId w:val="16"/>
    <w:lvlOverride w:ilvl="0">
      <w:lvl w:ilvl="0">
        <w:numFmt w:val="decimal"/>
        <w:lvlText w:val="%1."/>
        <w:lvlJc w:val="left"/>
      </w:lvl>
    </w:lvlOverride>
  </w:num>
  <w:num w:numId="6">
    <w:abstractNumId w:val="16"/>
    <w:lvlOverride w:ilvl="0">
      <w:lvl w:ilvl="0">
        <w:numFmt w:val="decimal"/>
        <w:lvlText w:val="%1."/>
        <w:lvlJc w:val="left"/>
      </w:lvl>
    </w:lvlOverride>
  </w:num>
  <w:num w:numId="7">
    <w:abstractNumId w:val="16"/>
    <w:lvlOverride w:ilvl="0">
      <w:lvl w:ilvl="0">
        <w:numFmt w:val="decimal"/>
        <w:lvlText w:val="%1."/>
        <w:lvlJc w:val="left"/>
      </w:lvl>
    </w:lvlOverride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16"/>
    <w:lvlOverride w:ilvl="0">
      <w:lvl w:ilvl="0">
        <w:numFmt w:val="decimal"/>
        <w:lvlText w:val="%1."/>
        <w:lvlJc w:val="left"/>
      </w:lvl>
    </w:lvlOverride>
  </w:num>
  <w:num w:numId="11">
    <w:abstractNumId w:val="21"/>
    <w:lvlOverride w:ilvl="0">
      <w:lvl w:ilvl="0">
        <w:numFmt w:val="decimal"/>
        <w:lvlText w:val="%1."/>
        <w:lvlJc w:val="left"/>
      </w:lvl>
    </w:lvlOverride>
  </w:num>
  <w:num w:numId="12">
    <w:abstractNumId w:val="14"/>
  </w:num>
  <w:num w:numId="13">
    <w:abstractNumId w:val="5"/>
  </w:num>
  <w:num w:numId="14">
    <w:abstractNumId w:val="11"/>
    <w:lvlOverride w:ilvl="0">
      <w:lvl w:ilvl="0">
        <w:numFmt w:val="decimal"/>
        <w:lvlText w:val="%1."/>
        <w:lvlJc w:val="left"/>
      </w:lvl>
    </w:lvlOverride>
  </w:num>
  <w:num w:numId="15">
    <w:abstractNumId w:val="18"/>
  </w:num>
  <w:num w:numId="16">
    <w:abstractNumId w:val="12"/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22"/>
    <w:lvlOverride w:ilvl="0">
      <w:lvl w:ilvl="0">
        <w:numFmt w:val="decimal"/>
        <w:lvlText w:val="%1."/>
        <w:lvlJc w:val="left"/>
      </w:lvl>
    </w:lvlOverride>
  </w:num>
  <w:num w:numId="19">
    <w:abstractNumId w:val="13"/>
    <w:lvlOverride w:ilvl="0">
      <w:lvl w:ilvl="0">
        <w:numFmt w:val="decimal"/>
        <w:lvlText w:val="%1."/>
        <w:lvlJc w:val="left"/>
      </w:lvl>
    </w:lvlOverride>
  </w:num>
  <w:num w:numId="20">
    <w:abstractNumId w:val="10"/>
    <w:lvlOverride w:ilvl="0">
      <w:lvl w:ilvl="0">
        <w:numFmt w:val="decimal"/>
        <w:lvlText w:val="%1."/>
        <w:lvlJc w:val="left"/>
      </w:lvl>
    </w:lvlOverride>
  </w:num>
  <w:num w:numId="21">
    <w:abstractNumId w:val="26"/>
    <w:lvlOverride w:ilvl="0">
      <w:lvl w:ilvl="0">
        <w:numFmt w:val="decimal"/>
        <w:lvlText w:val="%1."/>
        <w:lvlJc w:val="left"/>
      </w:lvl>
    </w:lvlOverride>
  </w:num>
  <w:num w:numId="22">
    <w:abstractNumId w:val="0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5"/>
    <w:lvlOverride w:ilvl="0">
      <w:lvl w:ilvl="0">
        <w:numFmt w:val="decimal"/>
        <w:lvlText w:val="%1."/>
        <w:lvlJc w:val="left"/>
      </w:lvl>
    </w:lvlOverride>
  </w:num>
  <w:num w:numId="25">
    <w:abstractNumId w:val="20"/>
    <w:lvlOverride w:ilvl="0">
      <w:lvl w:ilvl="0">
        <w:numFmt w:val="decimal"/>
        <w:lvlText w:val="%1."/>
        <w:lvlJc w:val="left"/>
        <w:rPr>
          <w:b w:val="0"/>
          <w:bCs w:val="0"/>
        </w:rPr>
      </w:lvl>
    </w:lvlOverride>
  </w:num>
  <w:num w:numId="26">
    <w:abstractNumId w:val="8"/>
    <w:lvlOverride w:ilvl="0">
      <w:lvl w:ilvl="0">
        <w:numFmt w:val="decimal"/>
        <w:lvlText w:val="%1."/>
        <w:lvlJc w:val="left"/>
      </w:lvl>
    </w:lvlOverride>
  </w:num>
  <w:num w:numId="27">
    <w:abstractNumId w:val="23"/>
    <w:lvlOverride w:ilvl="0">
      <w:lvl w:ilvl="0">
        <w:numFmt w:val="decimal"/>
        <w:lvlText w:val="%1."/>
        <w:lvlJc w:val="left"/>
      </w:lvl>
    </w:lvlOverride>
  </w:num>
  <w:num w:numId="28">
    <w:abstractNumId w:val="24"/>
    <w:lvlOverride w:ilvl="0">
      <w:lvl w:ilvl="0">
        <w:numFmt w:val="decimal"/>
        <w:lvlText w:val="%1."/>
        <w:lvlJc w:val="left"/>
      </w:lvl>
    </w:lvlOverride>
  </w:num>
  <w:num w:numId="29">
    <w:abstractNumId w:val="4"/>
    <w:lvlOverride w:ilvl="0">
      <w:lvl w:ilvl="0">
        <w:numFmt w:val="decimal"/>
        <w:lvlText w:val="%1."/>
        <w:lvlJc w:val="left"/>
      </w:lvl>
    </w:lvlOverride>
  </w:num>
  <w:num w:numId="30">
    <w:abstractNumId w:val="17"/>
    <w:lvlOverride w:ilvl="0">
      <w:lvl w:ilvl="0">
        <w:numFmt w:val="decimal"/>
        <w:lvlText w:val="%1."/>
        <w:lvlJc w:val="left"/>
        <w:rPr>
          <w:b w:val="0"/>
          <w:bCs w:val="0"/>
        </w:rPr>
      </w:lvl>
    </w:lvlOverride>
  </w:num>
  <w:num w:numId="31">
    <w:abstractNumId w:val="3"/>
  </w:num>
  <w:num w:numId="32">
    <w:abstractNumId w:val="15"/>
    <w:lvlOverride w:ilvl="0">
      <w:lvl w:ilvl="0">
        <w:numFmt w:val="decimal"/>
        <w:lvlText w:val="%1."/>
        <w:lvlJc w:val="left"/>
      </w:lvl>
    </w:lvlOverride>
  </w:num>
  <w:num w:numId="33">
    <w:abstractNumId w:val="19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E90489"/>
    <w:rsid w:val="002A2475"/>
    <w:rsid w:val="003904E8"/>
    <w:rsid w:val="005C73D0"/>
    <w:rsid w:val="00732C98"/>
    <w:rsid w:val="009758EB"/>
    <w:rsid w:val="00AB4898"/>
    <w:rsid w:val="00B74740"/>
    <w:rsid w:val="00C86363"/>
    <w:rsid w:val="00CC03E4"/>
    <w:rsid w:val="00D23C49"/>
    <w:rsid w:val="00DE6962"/>
    <w:rsid w:val="00E47024"/>
    <w:rsid w:val="00E90489"/>
    <w:rsid w:val="00E91299"/>
    <w:rsid w:val="00EA541D"/>
    <w:rsid w:val="00FA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D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190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86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312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188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254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101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388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493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53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34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62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03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659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33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838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9766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1843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676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013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lyn-rada.gov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7D174-53EE-4CBA-AF56-79ED164A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3185</Words>
  <Characters>18156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FO203</cp:lastModifiedBy>
  <cp:revision>4</cp:revision>
  <cp:lastPrinted>2023-12-13T12:53:00Z</cp:lastPrinted>
  <dcterms:created xsi:type="dcterms:W3CDTF">2023-12-13T12:07:00Z</dcterms:created>
  <dcterms:modified xsi:type="dcterms:W3CDTF">2023-12-13T12:57:00Z</dcterms:modified>
</cp:coreProperties>
</file>